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64" w:rsidRPr="00782A64" w:rsidRDefault="00782A64" w:rsidP="00782A64">
      <w:pPr>
        <w:jc w:val="both"/>
        <w:rPr>
          <w:rStyle w:val="Enfasigrassetto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782A64">
        <w:rPr>
          <w:rStyle w:val="Enfasigrassetto"/>
          <w:rFonts w:ascii="Arial" w:hAnsi="Arial" w:cs="Arial"/>
          <w:color w:val="333333"/>
          <w:sz w:val="28"/>
          <w:szCs w:val="28"/>
          <w:shd w:val="clear" w:color="auto" w:fill="FFFFFF"/>
        </w:rPr>
        <w:t>REF</w:t>
      </w:r>
      <w:r w:rsidR="006B54B7">
        <w:rPr>
          <w:rStyle w:val="Enfasigrassetto"/>
          <w:rFonts w:ascii="Arial" w:hAnsi="Arial" w:cs="Arial"/>
          <w:color w:val="333333"/>
          <w:sz w:val="28"/>
          <w:szCs w:val="28"/>
          <w:shd w:val="clear" w:color="auto" w:fill="FFFFFF"/>
        </w:rPr>
        <w:t>ERENDUM DEL 12 GIUGNO 2022</w:t>
      </w:r>
    </w:p>
    <w:p w:rsidR="00782A64" w:rsidRPr="00782A64" w:rsidRDefault="00782A64" w:rsidP="00782A64">
      <w:pPr>
        <w:jc w:val="both"/>
        <w:rPr>
          <w:rFonts w:ascii="Arial" w:hAnsi="Arial" w:cs="Arial"/>
          <w:color w:val="30373D"/>
          <w:sz w:val="20"/>
          <w:szCs w:val="20"/>
          <w:shd w:val="clear" w:color="auto" w:fill="FFFFFF"/>
        </w:rPr>
      </w:pPr>
      <w:r w:rsidRPr="00782A64">
        <w:rPr>
          <w:rStyle w:val="Enfasigrassetto"/>
          <w:rFonts w:ascii="Arial" w:hAnsi="Arial" w:cs="Arial"/>
          <w:color w:val="333333"/>
          <w:sz w:val="20"/>
          <w:szCs w:val="20"/>
          <w:shd w:val="clear" w:color="auto" w:fill="FFFFFF"/>
        </w:rPr>
        <w:t>Il 12 giugno 2022 </w:t>
      </w:r>
      <w:r w:rsidRPr="00782A64">
        <w:rPr>
          <w:rFonts w:ascii="Arial" w:hAnsi="Arial" w:cs="Arial"/>
          <w:color w:val="333333"/>
          <w:sz w:val="20"/>
          <w:szCs w:val="20"/>
          <w:shd w:val="clear" w:color="auto" w:fill="FFFFFF"/>
        </w:rPr>
        <w:t>si terranno 5 Referendum abrogativi in materia di giustizia (i relativi decreti del 6/04/2022 del Presidente della Repubblica, sono stati pubblicati sulla Gazzetta Ufficiale n.82 del 7/04/2022. </w:t>
      </w:r>
    </w:p>
    <w:p w:rsidR="00A23070" w:rsidRPr="00782A64" w:rsidRDefault="00782A64" w:rsidP="00782A64">
      <w:pPr>
        <w:jc w:val="both"/>
        <w:rPr>
          <w:rStyle w:val="Enfasigrassetto"/>
          <w:rFonts w:ascii="Arial" w:hAnsi="Arial" w:cs="Arial"/>
          <w:color w:val="30373D"/>
          <w:sz w:val="28"/>
          <w:szCs w:val="28"/>
        </w:rPr>
      </w:pPr>
      <w:r w:rsidRPr="00782A64">
        <w:rPr>
          <w:rFonts w:ascii="Arial" w:hAnsi="Arial" w:cs="Arial"/>
          <w:color w:val="30373D"/>
          <w:sz w:val="20"/>
          <w:szCs w:val="20"/>
          <w:shd w:val="clear" w:color="auto" w:fill="FFFFFF"/>
        </w:rPr>
        <w:t>I cinque referendum popolari abrogativi ex </w:t>
      </w:r>
      <w:r w:rsidRPr="00782A64">
        <w:rPr>
          <w:rFonts w:ascii="Arial" w:hAnsi="Arial" w:cs="Arial"/>
          <w:sz w:val="20"/>
          <w:szCs w:val="20"/>
        </w:rPr>
        <w:t>art.</w:t>
      </w:r>
      <w:r w:rsidRPr="00782A64">
        <w:rPr>
          <w:rFonts w:ascii="Arial" w:hAnsi="Arial" w:cs="Arial"/>
          <w:color w:val="30373D"/>
          <w:sz w:val="20"/>
          <w:szCs w:val="20"/>
          <w:shd w:val="clear" w:color="auto" w:fill="FFFFFF"/>
        </w:rPr>
        <w:t> 75 della Costituzione, hanno le seguenti denominazioni:  </w:t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 xml:space="preserve">1) Abrogazione del Testo unico delle disposizioni in materia di </w:t>
      </w:r>
      <w:proofErr w:type="spellStart"/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>incandidabilità</w:t>
      </w:r>
      <w:proofErr w:type="spellEnd"/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 xml:space="preserve"> e di divieto di ricoprire cariche elettive e di Governo conseguenti a sentenze definitive di condanna per delitti non colposi;  </w:t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>2) Limitazione delle misure cautelari: abrogazione dell'ultimo inciso dell'art. 274, comma l, lettera c), codice di procedura penale, in materia di misure cautelari e, segnatamente, di esigenze cautelari, nel processo penale;  </w:t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>3) Separazione delle funzioni dei magistrati. Abrogazione delle norme in materia di ordinamento giudiziario che consentono il passaggio dalle funzioni giudicanti a quelle requirenti e viceversa nella carriera dei magistrati;  </w:t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>4) Partecipazione dei membri laici a tutte le deliberazioni del Consiglio direttivo della Corte di cassazione e dei consigli giudiziari. Abrogazione di norme in materia di composizione del Consiglio direttivo della Corte di cassazione e dei consigli giudiziari e delle competenze dei membri laici che ne fanno parte;</w:t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Style w:val="Enfasicorsivo"/>
          <w:rFonts w:ascii="Arial" w:hAnsi="Arial" w:cs="Arial"/>
          <w:color w:val="30373D"/>
          <w:sz w:val="20"/>
          <w:szCs w:val="20"/>
        </w:rPr>
        <w:t>5) Abrogazione di norme in materia di elezioni dei componenti togati del Consiglio superiore della magistratura.  </w:t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Fonts w:ascii="Arial" w:hAnsi="Arial" w:cs="Arial"/>
          <w:color w:val="30373D"/>
          <w:sz w:val="20"/>
          <w:szCs w:val="20"/>
        </w:rPr>
        <w:br/>
      </w:r>
      <w:r w:rsidRPr="00782A64">
        <w:rPr>
          <w:rStyle w:val="Enfasigrassetto"/>
          <w:rFonts w:ascii="Arial" w:hAnsi="Arial" w:cs="Arial"/>
          <w:color w:val="30373D"/>
          <w:sz w:val="28"/>
          <w:szCs w:val="28"/>
        </w:rPr>
        <w:t xml:space="preserve">SARÀ’ POSSIBILE VOTARE NELLA SOLA GIORNATA </w:t>
      </w:r>
      <w:proofErr w:type="spellStart"/>
      <w:r w:rsidRPr="00782A64">
        <w:rPr>
          <w:rStyle w:val="Enfasigrassetto"/>
          <w:rFonts w:ascii="Arial" w:hAnsi="Arial" w:cs="Arial"/>
          <w:color w:val="30373D"/>
          <w:sz w:val="28"/>
          <w:szCs w:val="28"/>
        </w:rPr>
        <w:t>DI</w:t>
      </w:r>
      <w:proofErr w:type="spellEnd"/>
      <w:r w:rsidRPr="00782A64">
        <w:rPr>
          <w:rStyle w:val="Enfasigrassetto"/>
          <w:rFonts w:ascii="Arial" w:hAnsi="Arial" w:cs="Arial"/>
          <w:color w:val="30373D"/>
          <w:sz w:val="28"/>
          <w:szCs w:val="28"/>
        </w:rPr>
        <w:t xml:space="preserve"> DOMENICA 12 GIUGNO 2022, DALLE ORE 7:00 ALLE ORE 23:00.</w:t>
      </w:r>
    </w:p>
    <w:p w:rsidR="00782A64" w:rsidRPr="00782A64" w:rsidRDefault="00782A64" w:rsidP="00782A64">
      <w:pPr>
        <w:jc w:val="both"/>
        <w:rPr>
          <w:rStyle w:val="Enfasigrassetto"/>
          <w:rFonts w:ascii="Arial" w:hAnsi="Arial" w:cs="Arial"/>
          <w:color w:val="30373D"/>
          <w:sz w:val="20"/>
          <w:szCs w:val="20"/>
        </w:rPr>
      </w:pPr>
    </w:p>
    <w:p w:rsidR="00782A64" w:rsidRPr="00F00F99" w:rsidRDefault="00782A64" w:rsidP="00782A64">
      <w:pPr>
        <w:shd w:val="clear" w:color="auto" w:fill="FFFFFF"/>
        <w:spacing w:after="10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</w:pPr>
      <w:r w:rsidRPr="00F00F99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Il quorum</w:t>
      </w:r>
    </w:p>
    <w:p w:rsidR="00782A64" w:rsidRPr="00782A64" w:rsidRDefault="00782A64" w:rsidP="00782A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Per la validità del referendum abrogativo è obbligatorio che vada a votare la metà più uno degli elettori aventi diritto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, in caso contrario le norme per le quali il quorum non viene raggiunto resteranno in vigore.</w:t>
      </w:r>
    </w:p>
    <w:p w:rsidR="00782A64" w:rsidRPr="00F00F99" w:rsidRDefault="00782A64" w:rsidP="00782A64">
      <w:pPr>
        <w:shd w:val="clear" w:color="auto" w:fill="FFFFFF"/>
        <w:spacing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</w:pPr>
      <w:r w:rsidRPr="00F00F99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Chi può votare</w:t>
      </w:r>
    </w:p>
    <w:p w:rsidR="00782A64" w:rsidRPr="00782A64" w:rsidRDefault="00782A64" w:rsidP="00782A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Possono votare tutti i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cittadini italiani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iscritti nelle liste elettorali del Comune e che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avranno compiuto il 18° anno di età il 12 giugno 2022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</w:p>
    <w:p w:rsidR="00782A64" w:rsidRPr="00782A64" w:rsidRDefault="00782A64" w:rsidP="00782A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I cittadini italiani residenti all'estero (AIRE), possono votare all'estero.</w:t>
      </w:r>
    </w:p>
    <w:p w:rsidR="00782A64" w:rsidRPr="00F00F99" w:rsidRDefault="00782A64" w:rsidP="00782A64">
      <w:pPr>
        <w:shd w:val="clear" w:color="auto" w:fill="FFFFFF"/>
        <w:spacing w:after="10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</w:pPr>
      <w:r w:rsidRPr="00F00F99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Come si vota</w:t>
      </w:r>
    </w:p>
    <w:p w:rsidR="00782A64" w:rsidRPr="00782A64" w:rsidRDefault="00782A64" w:rsidP="00782A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L'elettore deve presentarsi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al seggio con un documento di identità valido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e la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tessera elettorale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 Chi non ha la tessera o l'ha smarrita può richiederla all'ufficio elettorale del comune di residenza.</w:t>
      </w:r>
    </w:p>
    <w:p w:rsidR="00782A64" w:rsidRPr="00782A64" w:rsidRDefault="00782A64" w:rsidP="00782A6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Per quanto attiene la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modalità di voto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, ciascun elettore può:</w:t>
      </w:r>
    </w:p>
    <w:p w:rsidR="00782A64" w:rsidRPr="00782A64" w:rsidRDefault="00782A64" w:rsidP="00782A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apporre un segno sul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SI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se desidera che la norma sottoposta a Referendum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sia abrogata</w:t>
      </w:r>
    </w:p>
    <w:p w:rsidR="00782A64" w:rsidRPr="00782A64" w:rsidRDefault="00782A64" w:rsidP="00782A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apporre un segno sul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NO</w:t>
      </w:r>
      <w:r w:rsidRPr="00782A6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se desidera che la norma sottoposta a Referendum </w:t>
      </w:r>
      <w:r w:rsidRPr="00782A64">
        <w:rPr>
          <w:rFonts w:ascii="Arial" w:eastAsia="Times New Roman" w:hAnsi="Arial" w:cs="Arial"/>
          <w:b/>
          <w:bCs/>
          <w:color w:val="333333"/>
          <w:sz w:val="20"/>
          <w:szCs w:val="20"/>
          <w:lang w:eastAsia="it-IT"/>
        </w:rPr>
        <w:t>resti in vigore</w:t>
      </w:r>
    </w:p>
    <w:p w:rsidR="00782A64" w:rsidRPr="00782A64" w:rsidRDefault="00782A64" w:rsidP="00782A64">
      <w:pPr>
        <w:jc w:val="both"/>
        <w:rPr>
          <w:rFonts w:ascii="Arial" w:hAnsi="Arial" w:cs="Arial"/>
          <w:sz w:val="20"/>
          <w:szCs w:val="20"/>
        </w:rPr>
      </w:pPr>
    </w:p>
    <w:sectPr w:rsidR="00782A64" w:rsidRPr="00782A64" w:rsidSect="00A230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620"/>
    <w:multiLevelType w:val="multilevel"/>
    <w:tmpl w:val="9E6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82A64"/>
    <w:rsid w:val="006B54B7"/>
    <w:rsid w:val="00782A64"/>
    <w:rsid w:val="00864720"/>
    <w:rsid w:val="00977A5E"/>
    <w:rsid w:val="00A23070"/>
    <w:rsid w:val="00F0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070"/>
  </w:style>
  <w:style w:type="paragraph" w:styleId="Titolo2">
    <w:name w:val="heading 2"/>
    <w:basedOn w:val="Normale"/>
    <w:link w:val="Titolo2Carattere"/>
    <w:uiPriority w:val="9"/>
    <w:qFormat/>
    <w:rsid w:val="00782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782A64"/>
    <w:rPr>
      <w:i/>
      <w:iCs/>
    </w:rPr>
  </w:style>
  <w:style w:type="character" w:styleId="Enfasigrassetto">
    <w:name w:val="Strong"/>
    <w:basedOn w:val="Carpredefinitoparagrafo"/>
    <w:uiPriority w:val="22"/>
    <w:qFormat/>
    <w:rsid w:val="00782A6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2A6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8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2097</Characters>
  <Application>Microsoft Office Word</Application>
  <DocSecurity>0</DocSecurity>
  <Lines>17</Lines>
  <Paragraphs>4</Paragraphs>
  <ScaleCrop>false</ScaleCrop>
  <Company>Grizli777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Acerbi</dc:creator>
  <cp:lastModifiedBy>Catia Acerbi</cp:lastModifiedBy>
  <cp:revision>3</cp:revision>
  <dcterms:created xsi:type="dcterms:W3CDTF">2022-04-13T13:37:00Z</dcterms:created>
  <dcterms:modified xsi:type="dcterms:W3CDTF">2022-04-13T13:44:00Z</dcterms:modified>
</cp:coreProperties>
</file>